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52AB0" w14:textId="4C1D28DF" w:rsidR="005D0119" w:rsidRPr="003A52C2" w:rsidRDefault="003A52C2" w:rsidP="003A52C2">
      <w:pPr>
        <w:spacing w:line="257" w:lineRule="auto"/>
        <w:jc w:val="center"/>
        <w:rPr>
          <w:b/>
          <w:bCs/>
          <w:sz w:val="32"/>
          <w:szCs w:val="32"/>
        </w:rPr>
      </w:pPr>
      <w:r w:rsidRPr="003A52C2">
        <w:rPr>
          <w:rFonts w:ascii="Calibri" w:eastAsia="Calibri" w:hAnsi="Calibri" w:cs="Calibri"/>
          <w:b/>
          <w:bCs/>
          <w:sz w:val="32"/>
          <w:szCs w:val="32"/>
        </w:rPr>
        <w:t>Transportation Sales Tax Fund</w:t>
      </w:r>
    </w:p>
    <w:tbl>
      <w:tblPr>
        <w:tblStyle w:val="TableGrid"/>
        <w:tblW w:w="94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47"/>
        <w:gridCol w:w="3803"/>
      </w:tblGrid>
      <w:tr w:rsidR="53D73EE2" w14:paraId="3AB9D607" w14:textId="77777777" w:rsidTr="0093787B">
        <w:trPr>
          <w:trHeight w:val="621"/>
          <w:jc w:val="center"/>
        </w:trPr>
        <w:tc>
          <w:tcPr>
            <w:tcW w:w="5647" w:type="dxa"/>
            <w:shd w:val="clear" w:color="auto" w:fill="006666"/>
            <w:vAlign w:val="center"/>
          </w:tcPr>
          <w:p w14:paraId="4D5012FB" w14:textId="14761358" w:rsidR="53D73EE2" w:rsidRPr="009835C6" w:rsidRDefault="53D73EE2" w:rsidP="009835C6">
            <w:pPr>
              <w:rPr>
                <w:rFonts w:ascii="Arial" w:hAnsi="Arial" w:cs="Arial"/>
              </w:rPr>
            </w:pPr>
            <w:r w:rsidRPr="009835C6">
              <w:rPr>
                <w:rFonts w:ascii="Arial" w:eastAsia="Calibri" w:hAnsi="Arial" w:cs="Arial"/>
                <w:b/>
                <w:bCs/>
                <w:color w:val="FFFFFF" w:themeColor="background1"/>
              </w:rPr>
              <w:t>Project Name:</w:t>
            </w:r>
          </w:p>
          <w:p w14:paraId="4C94BDE3" w14:textId="36A67DD2" w:rsidR="00664F82" w:rsidRPr="009835C6" w:rsidRDefault="002B6DCD" w:rsidP="009835C6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Annual Asphalt Overlay Pro</w:t>
            </w:r>
            <w:r w:rsidR="005F4D43">
              <w:rPr>
                <w:rFonts w:ascii="Arial" w:eastAsia="Calibri" w:hAnsi="Arial" w:cs="Arial"/>
                <w:b/>
                <w:bCs/>
                <w:color w:val="FFFFFF" w:themeColor="background1"/>
              </w:rPr>
              <w:t>gram</w:t>
            </w:r>
          </w:p>
        </w:tc>
        <w:tc>
          <w:tcPr>
            <w:tcW w:w="3803" w:type="dxa"/>
            <w:shd w:val="clear" w:color="auto" w:fill="006666"/>
            <w:vAlign w:val="center"/>
          </w:tcPr>
          <w:p w14:paraId="38A78BD6" w14:textId="2310716C" w:rsidR="53D73EE2" w:rsidRPr="009835C6" w:rsidRDefault="53D73EE2" w:rsidP="009835C6">
            <w:pPr>
              <w:rPr>
                <w:rFonts w:ascii="Arial" w:hAnsi="Arial" w:cs="Arial"/>
              </w:rPr>
            </w:pPr>
            <w:r w:rsidRPr="009835C6">
              <w:rPr>
                <w:rFonts w:ascii="Arial" w:eastAsia="Calibri" w:hAnsi="Arial" w:cs="Arial"/>
                <w:b/>
                <w:bCs/>
                <w:color w:val="FFFFFF" w:themeColor="background1"/>
              </w:rPr>
              <w:t>Department:</w:t>
            </w:r>
          </w:p>
          <w:p w14:paraId="2B556326" w14:textId="62BA1784" w:rsidR="53D73EE2" w:rsidRPr="009835C6" w:rsidRDefault="00664F82" w:rsidP="009835C6">
            <w:pPr>
              <w:rPr>
                <w:rFonts w:ascii="Arial" w:hAnsi="Arial" w:cs="Arial"/>
              </w:rPr>
            </w:pPr>
            <w:r w:rsidRPr="009835C6">
              <w:rPr>
                <w:rFonts w:ascii="Arial" w:eastAsia="Calibri" w:hAnsi="Arial" w:cs="Arial"/>
                <w:b/>
                <w:bCs/>
                <w:color w:val="FFFFFF" w:themeColor="background1"/>
              </w:rPr>
              <w:t>Public Works</w:t>
            </w:r>
          </w:p>
        </w:tc>
      </w:tr>
      <w:tr w:rsidR="53D73EE2" w14:paraId="0D92A4ED" w14:textId="77777777" w:rsidTr="0093787B">
        <w:trPr>
          <w:trHeight w:val="637"/>
          <w:jc w:val="center"/>
        </w:trPr>
        <w:tc>
          <w:tcPr>
            <w:tcW w:w="5647" w:type="dxa"/>
            <w:shd w:val="clear" w:color="auto" w:fill="E2EFD9" w:themeFill="accent6" w:themeFillTint="33"/>
            <w:vAlign w:val="center"/>
          </w:tcPr>
          <w:p w14:paraId="7CF3F184" w14:textId="29256C2B" w:rsidR="53D73EE2" w:rsidRPr="009835C6" w:rsidRDefault="53D73EE2" w:rsidP="009835C6">
            <w:pPr>
              <w:rPr>
                <w:rFonts w:ascii="Arial" w:hAnsi="Arial" w:cs="Arial"/>
              </w:rPr>
            </w:pPr>
            <w:r w:rsidRPr="009835C6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Type of Project: </w:t>
            </w:r>
          </w:p>
          <w:p w14:paraId="56CC76CF" w14:textId="023E6E0C" w:rsidR="53D73EE2" w:rsidRPr="009835C6" w:rsidRDefault="002B6DCD" w:rsidP="009835C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Rehabilitation / Replacement</w:t>
            </w:r>
          </w:p>
        </w:tc>
        <w:tc>
          <w:tcPr>
            <w:tcW w:w="3803" w:type="dxa"/>
            <w:shd w:val="clear" w:color="auto" w:fill="E2EFD9" w:themeFill="accent6" w:themeFillTint="33"/>
            <w:vAlign w:val="center"/>
          </w:tcPr>
          <w:p w14:paraId="4E53A1EC" w14:textId="443EF8CB" w:rsidR="53D73EE2" w:rsidRPr="009835C6" w:rsidRDefault="53D73EE2" w:rsidP="009835C6">
            <w:pPr>
              <w:rPr>
                <w:rFonts w:ascii="Arial" w:hAnsi="Arial" w:cs="Arial"/>
              </w:rPr>
            </w:pPr>
            <w:r w:rsidRPr="009835C6">
              <w:rPr>
                <w:rFonts w:ascii="Arial" w:eastAsia="Calibri" w:hAnsi="Arial" w:cs="Arial"/>
                <w:b/>
                <w:bCs/>
              </w:rPr>
              <w:t>Contact</w:t>
            </w:r>
            <w:r w:rsidRPr="009835C6">
              <w:rPr>
                <w:rFonts w:ascii="Arial" w:eastAsia="Calibri" w:hAnsi="Arial" w:cs="Arial"/>
              </w:rPr>
              <w:t>:</w:t>
            </w:r>
          </w:p>
          <w:p w14:paraId="0A6F92A0" w14:textId="4B5F96F8" w:rsidR="53D73EE2" w:rsidRPr="009835C6" w:rsidRDefault="00324BDD" w:rsidP="009835C6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Chuck Soules</w:t>
            </w:r>
          </w:p>
        </w:tc>
      </w:tr>
      <w:tr w:rsidR="53D73EE2" w14:paraId="068A5664" w14:textId="77777777" w:rsidTr="0093787B">
        <w:trPr>
          <w:trHeight w:val="637"/>
          <w:jc w:val="center"/>
        </w:trPr>
        <w:tc>
          <w:tcPr>
            <w:tcW w:w="9450" w:type="dxa"/>
            <w:gridSpan w:val="2"/>
            <w:vAlign w:val="center"/>
          </w:tcPr>
          <w:p w14:paraId="7D63B13B" w14:textId="62114212" w:rsidR="53D73EE2" w:rsidRPr="009835C6" w:rsidRDefault="53D73EE2" w:rsidP="00196222">
            <w:pPr>
              <w:jc w:val="right"/>
              <w:rPr>
                <w:rFonts w:ascii="Arial" w:hAnsi="Arial" w:cs="Arial"/>
              </w:rPr>
            </w:pPr>
            <w:r w:rsidRPr="009835C6">
              <w:rPr>
                <w:rFonts w:ascii="Arial" w:eastAsia="Calibri" w:hAnsi="Arial" w:cs="Arial"/>
                <w:b/>
                <w:bCs/>
              </w:rPr>
              <w:t>Total Project Cost:</w:t>
            </w:r>
          </w:p>
          <w:p w14:paraId="0FA65CA2" w14:textId="7B194E6B" w:rsidR="53D73EE2" w:rsidRDefault="53D73EE2" w:rsidP="00196222">
            <w:pPr>
              <w:jc w:val="right"/>
            </w:pPr>
            <w:r w:rsidRPr="009835C6">
              <w:rPr>
                <w:rFonts w:ascii="Arial" w:eastAsia="Calibri" w:hAnsi="Arial" w:cs="Arial"/>
                <w:b/>
                <w:bCs/>
              </w:rPr>
              <w:t>$</w:t>
            </w:r>
            <w:r w:rsidR="008F5647">
              <w:rPr>
                <w:rFonts w:ascii="Arial" w:eastAsia="Calibri" w:hAnsi="Arial" w:cs="Arial"/>
                <w:b/>
                <w:bCs/>
              </w:rPr>
              <w:t>2</w:t>
            </w:r>
            <w:r w:rsidR="002B6DCD">
              <w:rPr>
                <w:rFonts w:ascii="Arial" w:eastAsia="Calibri" w:hAnsi="Arial" w:cs="Arial"/>
                <w:b/>
                <w:bCs/>
              </w:rPr>
              <w:t>,</w:t>
            </w:r>
            <w:r w:rsidR="00155FBB">
              <w:rPr>
                <w:rFonts w:ascii="Arial" w:eastAsia="Calibri" w:hAnsi="Arial" w:cs="Arial"/>
                <w:b/>
                <w:bCs/>
              </w:rPr>
              <w:t>3</w:t>
            </w:r>
            <w:r w:rsidR="008F5647">
              <w:rPr>
                <w:rFonts w:ascii="Arial" w:eastAsia="Calibri" w:hAnsi="Arial" w:cs="Arial"/>
                <w:b/>
                <w:bCs/>
              </w:rPr>
              <w:t>5</w:t>
            </w:r>
            <w:r w:rsidR="002B6DCD">
              <w:rPr>
                <w:rFonts w:ascii="Arial" w:eastAsia="Calibri" w:hAnsi="Arial" w:cs="Arial"/>
                <w:b/>
                <w:bCs/>
              </w:rPr>
              <w:t>0,000</w:t>
            </w:r>
          </w:p>
        </w:tc>
      </w:tr>
    </w:tbl>
    <w:p w14:paraId="2006C662" w14:textId="77777777" w:rsidR="009764F1" w:rsidRPr="00F04845" w:rsidRDefault="009764F1" w:rsidP="53D73EE2">
      <w:pPr>
        <w:spacing w:line="257" w:lineRule="auto"/>
        <w:rPr>
          <w:rFonts w:ascii="Calibri" w:eastAsia="Calibri" w:hAnsi="Calibri" w:cs="Calibri"/>
          <w:b/>
          <w:bCs/>
          <w:sz w:val="18"/>
          <w:szCs w:val="18"/>
        </w:rPr>
      </w:pPr>
    </w:p>
    <w:p w14:paraId="6C621DB3" w14:textId="276670EC" w:rsidR="005D0119" w:rsidRPr="009835C6" w:rsidRDefault="3ECBD887" w:rsidP="53D73EE2">
      <w:pPr>
        <w:spacing w:line="257" w:lineRule="auto"/>
        <w:rPr>
          <w:rFonts w:ascii="Arial" w:hAnsi="Arial" w:cs="Arial"/>
        </w:rPr>
      </w:pPr>
      <w:r w:rsidRPr="009835C6">
        <w:rPr>
          <w:rFonts w:ascii="Arial" w:eastAsia="Calibri" w:hAnsi="Arial" w:cs="Arial"/>
          <w:b/>
          <w:bCs/>
        </w:rPr>
        <w:t xml:space="preserve">Description:                                                                                                  </w:t>
      </w:r>
    </w:p>
    <w:p w14:paraId="2AB2A4BB" w14:textId="75124F0D" w:rsidR="009A6688" w:rsidRDefault="00136EA5" w:rsidP="00835067">
      <w:pPr>
        <w:spacing w:line="257" w:lineRule="auto"/>
        <w:jc w:val="both"/>
        <w:rPr>
          <w:rFonts w:ascii="Calibri" w:eastAsia="Calibri" w:hAnsi="Calibri" w:cs="Calibri"/>
          <w:noProof/>
        </w:rPr>
      </w:pPr>
      <w:r w:rsidRPr="00136EA5">
        <w:rPr>
          <w:rFonts w:ascii="Arial" w:eastAsia="Calibri" w:hAnsi="Arial" w:cs="Arial"/>
        </w:rPr>
        <w:t xml:space="preserve">The </w:t>
      </w:r>
      <w:r>
        <w:rPr>
          <w:rFonts w:ascii="Arial" w:eastAsia="Calibri" w:hAnsi="Arial" w:cs="Arial"/>
        </w:rPr>
        <w:t>A</w:t>
      </w:r>
      <w:r w:rsidRPr="00136EA5">
        <w:rPr>
          <w:rFonts w:ascii="Arial" w:eastAsia="Calibri" w:hAnsi="Arial" w:cs="Arial"/>
        </w:rPr>
        <w:t xml:space="preserve">nnual </w:t>
      </w:r>
      <w:r>
        <w:rPr>
          <w:rFonts w:ascii="Arial" w:eastAsia="Calibri" w:hAnsi="Arial" w:cs="Arial"/>
        </w:rPr>
        <w:t>A</w:t>
      </w:r>
      <w:r w:rsidRPr="00136EA5">
        <w:rPr>
          <w:rFonts w:ascii="Arial" w:eastAsia="Calibri" w:hAnsi="Arial" w:cs="Arial"/>
        </w:rPr>
        <w:t xml:space="preserve">sphalt </w:t>
      </w:r>
      <w:r>
        <w:rPr>
          <w:rFonts w:ascii="Arial" w:eastAsia="Calibri" w:hAnsi="Arial" w:cs="Arial"/>
        </w:rPr>
        <w:t>O</w:t>
      </w:r>
      <w:r w:rsidRPr="00136EA5">
        <w:rPr>
          <w:rFonts w:ascii="Arial" w:eastAsia="Calibri" w:hAnsi="Arial" w:cs="Arial"/>
        </w:rPr>
        <w:t xml:space="preserve">verlay </w:t>
      </w:r>
      <w:r>
        <w:rPr>
          <w:rFonts w:ascii="Arial" w:eastAsia="Calibri" w:hAnsi="Arial" w:cs="Arial"/>
        </w:rPr>
        <w:t>P</w:t>
      </w:r>
      <w:r w:rsidRPr="00136EA5">
        <w:rPr>
          <w:rFonts w:ascii="Arial" w:eastAsia="Calibri" w:hAnsi="Arial" w:cs="Arial"/>
        </w:rPr>
        <w:t>rogram allocates fund</w:t>
      </w:r>
      <w:r w:rsidR="00835067">
        <w:rPr>
          <w:rFonts w:ascii="Arial" w:eastAsia="Calibri" w:hAnsi="Arial" w:cs="Arial"/>
        </w:rPr>
        <w:t>ing</w:t>
      </w:r>
      <w:r w:rsidRPr="00136EA5">
        <w:rPr>
          <w:rFonts w:ascii="Arial" w:eastAsia="Calibri" w:hAnsi="Arial" w:cs="Arial"/>
        </w:rPr>
        <w:t xml:space="preserve"> for road </w:t>
      </w:r>
      <w:r w:rsidR="00835067">
        <w:rPr>
          <w:rFonts w:ascii="Arial" w:eastAsia="Calibri" w:hAnsi="Arial" w:cs="Arial"/>
        </w:rPr>
        <w:t xml:space="preserve">maintenance and </w:t>
      </w:r>
      <w:r w:rsidRPr="00136EA5">
        <w:rPr>
          <w:rFonts w:ascii="Arial" w:eastAsia="Calibri" w:hAnsi="Arial" w:cs="Arial"/>
        </w:rPr>
        <w:t xml:space="preserve">repairs. </w:t>
      </w:r>
      <w:r w:rsidR="00835067">
        <w:rPr>
          <w:rFonts w:ascii="Arial" w:eastAsia="Calibri" w:hAnsi="Arial" w:cs="Arial"/>
        </w:rPr>
        <w:t>Project selection and</w:t>
      </w:r>
      <w:r w:rsidRPr="00136EA5">
        <w:rPr>
          <w:rFonts w:ascii="Arial" w:eastAsia="Calibri" w:hAnsi="Arial" w:cs="Arial"/>
        </w:rPr>
        <w:t xml:space="preserve"> prioritization </w:t>
      </w:r>
      <w:r w:rsidR="00835067">
        <w:rPr>
          <w:rFonts w:ascii="Arial" w:eastAsia="Calibri" w:hAnsi="Arial" w:cs="Arial"/>
        </w:rPr>
        <w:t xml:space="preserve">is </w:t>
      </w:r>
      <w:r w:rsidR="00E82B11">
        <w:rPr>
          <w:rFonts w:ascii="Arial" w:eastAsia="Calibri" w:hAnsi="Arial" w:cs="Arial"/>
        </w:rPr>
        <w:t>guided</w:t>
      </w:r>
      <w:r w:rsidR="00835067">
        <w:rPr>
          <w:rFonts w:ascii="Arial" w:eastAsia="Calibri" w:hAnsi="Arial" w:cs="Arial"/>
        </w:rPr>
        <w:t xml:space="preserve"> by the</w:t>
      </w:r>
      <w:r w:rsidRPr="00136EA5">
        <w:rPr>
          <w:rFonts w:ascii="Arial" w:eastAsia="Calibri" w:hAnsi="Arial" w:cs="Arial"/>
        </w:rPr>
        <w:t xml:space="preserve"> </w:t>
      </w:r>
      <w:r w:rsidR="00E82B11">
        <w:rPr>
          <w:rFonts w:ascii="Arial" w:eastAsia="Calibri" w:hAnsi="Arial" w:cs="Arial"/>
        </w:rPr>
        <w:t xml:space="preserve">results of the </w:t>
      </w:r>
      <w:r w:rsidRPr="00136EA5">
        <w:rPr>
          <w:rFonts w:ascii="Arial" w:eastAsia="Calibri" w:hAnsi="Arial" w:cs="Arial"/>
        </w:rPr>
        <w:t>Pavement Condition Index (PCI).</w:t>
      </w:r>
      <w:r w:rsidR="00835067">
        <w:rPr>
          <w:rFonts w:ascii="Arial" w:eastAsia="Calibri" w:hAnsi="Arial" w:cs="Arial"/>
        </w:rPr>
        <w:t xml:space="preserve"> </w:t>
      </w:r>
      <w:r w:rsidR="0046436E">
        <w:rPr>
          <w:rFonts w:ascii="Arial" w:eastAsia="Calibri" w:hAnsi="Arial" w:cs="Arial"/>
        </w:rPr>
        <w:t>Staff</w:t>
      </w:r>
      <w:r w:rsidR="0046436E" w:rsidRPr="0046436E">
        <w:rPr>
          <w:rFonts w:ascii="Arial" w:eastAsia="Calibri" w:hAnsi="Arial" w:cs="Arial"/>
        </w:rPr>
        <w:t xml:space="preserve"> evaluate the </w:t>
      </w:r>
      <w:proofErr w:type="gramStart"/>
      <w:r w:rsidR="00E82B11">
        <w:rPr>
          <w:rFonts w:ascii="Arial" w:eastAsia="Calibri" w:hAnsi="Arial" w:cs="Arial"/>
        </w:rPr>
        <w:t>C</w:t>
      </w:r>
      <w:r w:rsidR="0046436E" w:rsidRPr="0046436E">
        <w:rPr>
          <w:rFonts w:ascii="Arial" w:eastAsia="Calibri" w:hAnsi="Arial" w:cs="Arial"/>
        </w:rPr>
        <w:t>ity’s street</w:t>
      </w:r>
      <w:proofErr w:type="gramEnd"/>
      <w:r w:rsidR="0046436E" w:rsidRPr="0046436E">
        <w:rPr>
          <w:rFonts w:ascii="Arial" w:eastAsia="Calibri" w:hAnsi="Arial" w:cs="Arial"/>
        </w:rPr>
        <w:t xml:space="preserve"> system and then </w:t>
      </w:r>
      <w:r w:rsidR="00E82B11">
        <w:rPr>
          <w:rFonts w:ascii="Arial" w:eastAsia="Calibri" w:hAnsi="Arial" w:cs="Arial"/>
        </w:rPr>
        <w:t>assign</w:t>
      </w:r>
      <w:r w:rsidR="0046436E">
        <w:rPr>
          <w:rFonts w:ascii="Arial" w:eastAsia="Calibri" w:hAnsi="Arial" w:cs="Arial"/>
        </w:rPr>
        <w:t xml:space="preserve"> a </w:t>
      </w:r>
      <w:r>
        <w:rPr>
          <w:rFonts w:ascii="Arial" w:eastAsia="Calibri" w:hAnsi="Arial" w:cs="Arial"/>
        </w:rPr>
        <w:t xml:space="preserve">PCI </w:t>
      </w:r>
      <w:r w:rsidR="0046436E">
        <w:rPr>
          <w:rFonts w:ascii="Arial" w:eastAsia="Calibri" w:hAnsi="Arial" w:cs="Arial"/>
        </w:rPr>
        <w:t xml:space="preserve">grade </w:t>
      </w:r>
      <w:r w:rsidR="005F4D43">
        <w:rPr>
          <w:rFonts w:ascii="Arial" w:eastAsia="Calibri" w:hAnsi="Arial" w:cs="Arial"/>
        </w:rPr>
        <w:t>to streets</w:t>
      </w:r>
      <w:r w:rsidR="0046436E" w:rsidRPr="0046436E">
        <w:rPr>
          <w:rFonts w:ascii="Arial" w:eastAsia="Calibri" w:hAnsi="Arial" w:cs="Arial"/>
        </w:rPr>
        <w:t xml:space="preserve"> according to the degree of deterioration</w:t>
      </w:r>
      <w:r w:rsidR="00E82B11">
        <w:rPr>
          <w:rFonts w:ascii="Arial" w:eastAsia="Calibri" w:hAnsi="Arial" w:cs="Arial"/>
        </w:rPr>
        <w:t xml:space="preserve"> &amp; degradation</w:t>
      </w:r>
      <w:r w:rsidR="0046436E" w:rsidRPr="0046436E">
        <w:rPr>
          <w:rFonts w:ascii="Arial" w:eastAsia="Calibri" w:hAnsi="Arial" w:cs="Arial"/>
        </w:rPr>
        <w:t xml:space="preserve">, traffic volume, and other factors. The </w:t>
      </w:r>
      <w:r w:rsidR="005F4D43">
        <w:rPr>
          <w:rFonts w:ascii="Arial" w:eastAsia="Calibri" w:hAnsi="Arial" w:cs="Arial"/>
        </w:rPr>
        <w:t>P</w:t>
      </w:r>
      <w:r w:rsidR="0046436E" w:rsidRPr="0046436E">
        <w:rPr>
          <w:rFonts w:ascii="Arial" w:eastAsia="Calibri" w:hAnsi="Arial" w:cs="Arial"/>
        </w:rPr>
        <w:t xml:space="preserve">ublic </w:t>
      </w:r>
      <w:r w:rsidR="005F4D43">
        <w:rPr>
          <w:rFonts w:ascii="Arial" w:eastAsia="Calibri" w:hAnsi="Arial" w:cs="Arial"/>
        </w:rPr>
        <w:t>W</w:t>
      </w:r>
      <w:r w:rsidR="0046436E" w:rsidRPr="0046436E">
        <w:rPr>
          <w:rFonts w:ascii="Arial" w:eastAsia="Calibri" w:hAnsi="Arial" w:cs="Arial"/>
        </w:rPr>
        <w:t xml:space="preserve">orks staff then puts together an annual program for asphalt overlay balancing the needs of the neighborhood streets, major streets, and the </w:t>
      </w:r>
      <w:r w:rsidR="005F4D43">
        <w:rPr>
          <w:rFonts w:ascii="Arial" w:eastAsia="Calibri" w:hAnsi="Arial" w:cs="Arial"/>
        </w:rPr>
        <w:t xml:space="preserve">available </w:t>
      </w:r>
      <w:r w:rsidR="00835067">
        <w:rPr>
          <w:rFonts w:ascii="Arial" w:eastAsia="Calibri" w:hAnsi="Arial" w:cs="Arial"/>
        </w:rPr>
        <w:t xml:space="preserve">annual program </w:t>
      </w:r>
      <w:r w:rsidR="0046436E" w:rsidRPr="0046436E">
        <w:rPr>
          <w:rFonts w:ascii="Arial" w:eastAsia="Calibri" w:hAnsi="Arial" w:cs="Arial"/>
        </w:rPr>
        <w:t>budget.</w:t>
      </w:r>
      <w:r w:rsidR="00186A45">
        <w:rPr>
          <w:rFonts w:ascii="Arial" w:eastAsia="Calibri" w:hAnsi="Arial" w:cs="Arial"/>
        </w:rPr>
        <w:t xml:space="preserve"> Annual projects completed in the past are visible on the City’s public website under the “CIP Completed Projects” page.</w:t>
      </w:r>
    </w:p>
    <w:p w14:paraId="31D6BBCD" w14:textId="36E32332" w:rsidR="005D0119" w:rsidRPr="009835C6" w:rsidRDefault="254D4244" w:rsidP="1C83270A">
      <w:pPr>
        <w:spacing w:line="257" w:lineRule="auto"/>
        <w:rPr>
          <w:rFonts w:ascii="Arial" w:eastAsia="Calibri" w:hAnsi="Arial" w:cs="Arial"/>
        </w:rPr>
      </w:pPr>
      <w:r w:rsidRPr="009835C6">
        <w:rPr>
          <w:rFonts w:ascii="Arial" w:eastAsia="Calibri" w:hAnsi="Arial" w:cs="Arial"/>
          <w:b/>
          <w:bCs/>
        </w:rPr>
        <w:t>Justification:</w:t>
      </w:r>
    </w:p>
    <w:p w14:paraId="2B55BE65" w14:textId="145D8DBB" w:rsidR="00054856" w:rsidRDefault="00136EA5" w:rsidP="00835067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Asphalt overlay is recommended</w:t>
      </w:r>
      <w:r w:rsidR="00EF4EE5">
        <w:rPr>
          <w:rFonts w:ascii="Arial" w:eastAsia="Calibri" w:hAnsi="Arial" w:cs="Arial"/>
        </w:rPr>
        <w:t xml:space="preserve"> when asphalt</w:t>
      </w:r>
      <w:r>
        <w:rPr>
          <w:rFonts w:ascii="Arial" w:eastAsia="Calibri" w:hAnsi="Arial" w:cs="Arial"/>
        </w:rPr>
        <w:t xml:space="preserve"> in streets show</w:t>
      </w:r>
      <w:r w:rsidR="00EF4EE5">
        <w:rPr>
          <w:rFonts w:ascii="Arial" w:eastAsia="Calibri" w:hAnsi="Arial" w:cs="Arial"/>
        </w:rPr>
        <w:t xml:space="preserve"> cracking or </w:t>
      </w:r>
      <w:r w:rsidR="0075078C">
        <w:rPr>
          <w:rFonts w:ascii="Arial" w:eastAsia="Calibri" w:hAnsi="Arial" w:cs="Arial"/>
        </w:rPr>
        <w:t>pot</w:t>
      </w:r>
      <w:r w:rsidR="00835067">
        <w:rPr>
          <w:rFonts w:ascii="Arial" w:eastAsia="Calibri" w:hAnsi="Arial" w:cs="Arial"/>
        </w:rPr>
        <w:t>holing</w:t>
      </w:r>
      <w:r w:rsidR="00EF4EE5">
        <w:rPr>
          <w:rFonts w:ascii="Arial" w:eastAsia="Calibri" w:hAnsi="Arial" w:cs="Arial"/>
        </w:rPr>
        <w:t xml:space="preserve">, while still not being damaged enough to </w:t>
      </w:r>
      <w:r w:rsidR="00835067">
        <w:rPr>
          <w:rFonts w:ascii="Arial" w:eastAsia="Calibri" w:hAnsi="Arial" w:cs="Arial"/>
        </w:rPr>
        <w:t>require full depth</w:t>
      </w:r>
      <w:r w:rsidR="00EF4EE5">
        <w:rPr>
          <w:rFonts w:ascii="Arial" w:eastAsia="Calibri" w:hAnsi="Arial" w:cs="Arial"/>
        </w:rPr>
        <w:t xml:space="preserve"> replacement. </w:t>
      </w:r>
      <w:r w:rsidR="00835067">
        <w:rPr>
          <w:rFonts w:ascii="Arial" w:eastAsia="Calibri" w:hAnsi="Arial" w:cs="Arial"/>
        </w:rPr>
        <w:t>Asphalt overlay is</w:t>
      </w:r>
      <w:r w:rsidR="00EF4EE5">
        <w:rPr>
          <w:rFonts w:ascii="Arial" w:eastAsia="Calibri" w:hAnsi="Arial" w:cs="Arial"/>
        </w:rPr>
        <w:t xml:space="preserve"> necessary to keep </w:t>
      </w:r>
      <w:r w:rsidR="00835067">
        <w:rPr>
          <w:rFonts w:ascii="Arial" w:eastAsia="Calibri" w:hAnsi="Arial" w:cs="Arial"/>
        </w:rPr>
        <w:t xml:space="preserve">the </w:t>
      </w:r>
      <w:r w:rsidR="00EF4EE5">
        <w:rPr>
          <w:rFonts w:ascii="Arial" w:eastAsia="Calibri" w:hAnsi="Arial" w:cs="Arial"/>
        </w:rPr>
        <w:t xml:space="preserve">City’s </w:t>
      </w:r>
      <w:r w:rsidR="00835067">
        <w:rPr>
          <w:rFonts w:ascii="Arial" w:eastAsia="Calibri" w:hAnsi="Arial" w:cs="Arial"/>
        </w:rPr>
        <w:t xml:space="preserve">major </w:t>
      </w:r>
      <w:r w:rsidR="00EF4EE5">
        <w:rPr>
          <w:rFonts w:ascii="Arial" w:eastAsia="Calibri" w:hAnsi="Arial" w:cs="Arial"/>
        </w:rPr>
        <w:t xml:space="preserve">streets </w:t>
      </w:r>
      <w:r w:rsidR="00835067">
        <w:rPr>
          <w:rFonts w:ascii="Arial" w:eastAsia="Calibri" w:hAnsi="Arial" w:cs="Arial"/>
        </w:rPr>
        <w:t xml:space="preserve">and neighborhood roads </w:t>
      </w:r>
      <w:r w:rsidR="00EF4EE5">
        <w:rPr>
          <w:rFonts w:ascii="Arial" w:eastAsia="Calibri" w:hAnsi="Arial" w:cs="Arial"/>
        </w:rPr>
        <w:t xml:space="preserve">in </w:t>
      </w:r>
      <w:r w:rsidR="00835067">
        <w:rPr>
          <w:rFonts w:ascii="Arial" w:eastAsia="Calibri" w:hAnsi="Arial" w:cs="Arial"/>
        </w:rPr>
        <w:t xml:space="preserve">a </w:t>
      </w:r>
      <w:r w:rsidR="00EF4EE5">
        <w:rPr>
          <w:rFonts w:ascii="Arial" w:eastAsia="Calibri" w:hAnsi="Arial" w:cs="Arial"/>
        </w:rPr>
        <w:t>safe</w:t>
      </w:r>
      <w:r w:rsidR="00835067">
        <w:rPr>
          <w:rFonts w:ascii="Arial" w:eastAsia="Calibri" w:hAnsi="Arial" w:cs="Arial"/>
        </w:rPr>
        <w:t xml:space="preserve"> and drivable condition for motorists and bicyclists. </w:t>
      </w:r>
    </w:p>
    <w:p w14:paraId="6413013E" w14:textId="48239E36" w:rsidR="00A74926" w:rsidRDefault="00A74926" w:rsidP="00835067">
      <w:pPr>
        <w:spacing w:after="0" w:line="240" w:lineRule="auto"/>
        <w:jc w:val="both"/>
        <w:rPr>
          <w:rFonts w:ascii="Arial" w:eastAsia="Calibri" w:hAnsi="Arial" w:cs="Arial"/>
        </w:rPr>
      </w:pPr>
    </w:p>
    <w:p w14:paraId="5D7F07CC" w14:textId="77777777" w:rsidR="00A74926" w:rsidRDefault="00A74926" w:rsidP="00A74926">
      <w:pPr>
        <w:spacing w:after="0" w:line="257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Impact on Operating Costs:</w:t>
      </w:r>
    </w:p>
    <w:p w14:paraId="6D5B087B" w14:textId="77777777" w:rsidR="00A74926" w:rsidRDefault="00A74926" w:rsidP="00A74926">
      <w:pPr>
        <w:spacing w:after="0" w:line="257" w:lineRule="auto"/>
        <w:jc w:val="both"/>
        <w:rPr>
          <w:rFonts w:ascii="Arial" w:hAnsi="Arial" w:cs="Arial"/>
        </w:rPr>
      </w:pPr>
    </w:p>
    <w:p w14:paraId="58613BB0" w14:textId="21E5A7B4" w:rsidR="00A74926" w:rsidRDefault="00A74926" w:rsidP="00A74926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is an ongoing </w:t>
      </w:r>
      <w:r w:rsidR="00E82B11">
        <w:rPr>
          <w:rFonts w:ascii="Arial" w:hAnsi="Arial" w:cs="Arial"/>
        </w:rPr>
        <w:t xml:space="preserve">annually funded </w:t>
      </w:r>
      <w:r>
        <w:rPr>
          <w:rFonts w:ascii="Arial" w:hAnsi="Arial" w:cs="Arial"/>
        </w:rPr>
        <w:t xml:space="preserve">program, so there will be costs in the future for mill and overlay. The program will reduce </w:t>
      </w:r>
      <w:r w:rsidR="005B20ED">
        <w:rPr>
          <w:rFonts w:ascii="Arial" w:hAnsi="Arial" w:cs="Arial"/>
        </w:rPr>
        <w:t xml:space="preserve">maintenance </w:t>
      </w:r>
      <w:r>
        <w:rPr>
          <w:rFonts w:ascii="Arial" w:hAnsi="Arial" w:cs="Arial"/>
        </w:rPr>
        <w:t xml:space="preserve">costs for road repairs. </w:t>
      </w:r>
    </w:p>
    <w:p w14:paraId="6E54724C" w14:textId="77777777" w:rsidR="00324BDD" w:rsidRDefault="00324BDD" w:rsidP="00324BDD">
      <w:pPr>
        <w:spacing w:line="257" w:lineRule="auto"/>
        <w:rPr>
          <w:rFonts w:ascii="Arial" w:hAnsi="Arial" w:cs="Arial"/>
        </w:rPr>
      </w:pPr>
    </w:p>
    <w:p w14:paraId="3E0B9172" w14:textId="77777777" w:rsidR="009E4428" w:rsidRDefault="009E4428" w:rsidP="00324BDD">
      <w:pPr>
        <w:spacing w:line="257" w:lineRule="auto"/>
        <w:rPr>
          <w:rFonts w:ascii="Arial" w:hAnsi="Arial" w:cs="Arial"/>
        </w:rPr>
      </w:pPr>
    </w:p>
    <w:p w14:paraId="56AEF9FE" w14:textId="77777777" w:rsidR="009E4428" w:rsidRDefault="009E4428" w:rsidP="00324BDD">
      <w:pPr>
        <w:spacing w:line="257" w:lineRule="auto"/>
        <w:rPr>
          <w:rFonts w:ascii="Arial" w:hAnsi="Arial" w:cs="Arial"/>
        </w:rPr>
      </w:pPr>
    </w:p>
    <w:p w14:paraId="0F0432E7" w14:textId="77777777" w:rsidR="009E4428" w:rsidRDefault="009E4428" w:rsidP="00324BDD">
      <w:pPr>
        <w:spacing w:line="257" w:lineRule="auto"/>
        <w:rPr>
          <w:rFonts w:ascii="Arial" w:hAnsi="Arial" w:cs="Arial"/>
        </w:rPr>
      </w:pPr>
    </w:p>
    <w:p w14:paraId="30E3F63F" w14:textId="77777777" w:rsidR="009E4428" w:rsidRDefault="009E4428" w:rsidP="00324BDD">
      <w:pPr>
        <w:spacing w:line="257" w:lineRule="auto"/>
        <w:rPr>
          <w:rFonts w:ascii="Arial" w:hAnsi="Arial" w:cs="Arial"/>
        </w:rPr>
      </w:pPr>
    </w:p>
    <w:p w14:paraId="78F4CEF7" w14:textId="77777777" w:rsidR="009E4428" w:rsidRDefault="009E4428" w:rsidP="00324BDD">
      <w:pPr>
        <w:spacing w:line="257" w:lineRule="auto"/>
        <w:rPr>
          <w:rFonts w:ascii="Arial" w:hAnsi="Arial" w:cs="Arial"/>
        </w:rPr>
      </w:pPr>
    </w:p>
    <w:p w14:paraId="4F4D353E" w14:textId="77777777" w:rsidR="009E4428" w:rsidRDefault="009E4428" w:rsidP="00324BDD">
      <w:pPr>
        <w:spacing w:line="257" w:lineRule="auto"/>
        <w:rPr>
          <w:rFonts w:ascii="Arial" w:hAnsi="Arial" w:cs="Arial"/>
        </w:rPr>
      </w:pPr>
    </w:p>
    <w:p w14:paraId="0B9942D0" w14:textId="77777777" w:rsidR="009E4428" w:rsidRDefault="009E4428" w:rsidP="00324BDD">
      <w:pPr>
        <w:spacing w:line="257" w:lineRule="auto"/>
        <w:rPr>
          <w:rFonts w:ascii="Arial" w:hAnsi="Arial" w:cs="Arial"/>
        </w:rPr>
      </w:pPr>
    </w:p>
    <w:p w14:paraId="7C18C6F3" w14:textId="77777777" w:rsidR="009E4428" w:rsidRDefault="009E4428" w:rsidP="00324BDD">
      <w:pPr>
        <w:spacing w:line="257" w:lineRule="auto"/>
        <w:rPr>
          <w:rFonts w:ascii="Arial" w:hAnsi="Arial" w:cs="Arial"/>
        </w:rPr>
      </w:pPr>
    </w:p>
    <w:p w14:paraId="42B5B7C8" w14:textId="77777777" w:rsidR="009E4428" w:rsidRDefault="009E4428" w:rsidP="00324BDD">
      <w:pPr>
        <w:spacing w:line="257" w:lineRule="auto"/>
        <w:rPr>
          <w:rFonts w:ascii="Arial" w:hAnsi="Arial" w:cs="Arial"/>
        </w:rPr>
      </w:pPr>
    </w:p>
    <w:p w14:paraId="6728ECBA" w14:textId="77777777" w:rsidR="009E4428" w:rsidRDefault="009E4428" w:rsidP="00324BDD">
      <w:pPr>
        <w:spacing w:line="257" w:lineRule="auto"/>
        <w:rPr>
          <w:rFonts w:ascii="Arial" w:hAnsi="Arial" w:cs="Arial"/>
        </w:rPr>
      </w:pPr>
    </w:p>
    <w:p w14:paraId="5321B09C" w14:textId="77777777" w:rsidR="009E4428" w:rsidRDefault="009E4428" w:rsidP="00324BDD">
      <w:pPr>
        <w:spacing w:line="257" w:lineRule="auto"/>
        <w:rPr>
          <w:rFonts w:ascii="Arial" w:hAnsi="Arial" w:cs="Arial"/>
        </w:rPr>
      </w:pPr>
    </w:p>
    <w:p w14:paraId="302E3227" w14:textId="1DF8D6C8" w:rsidR="005D0119" w:rsidRPr="009835C6" w:rsidRDefault="009835C6" w:rsidP="00324BDD">
      <w:pPr>
        <w:spacing w:line="257" w:lineRule="auto"/>
        <w:rPr>
          <w:rFonts w:ascii="Arial" w:eastAsia="Calibri" w:hAnsi="Arial" w:cs="Arial"/>
          <w:b/>
          <w:bCs/>
        </w:rPr>
      </w:pPr>
      <w:r w:rsidRPr="009835C6">
        <w:rPr>
          <w:rFonts w:ascii="Arial" w:eastAsia="Calibri" w:hAnsi="Arial" w:cs="Arial"/>
          <w:b/>
          <w:bCs/>
        </w:rPr>
        <w:t xml:space="preserve">Planned </w:t>
      </w:r>
      <w:r w:rsidR="711E8BA5" w:rsidRPr="009835C6">
        <w:rPr>
          <w:rFonts w:ascii="Arial" w:eastAsia="Calibri" w:hAnsi="Arial" w:cs="Arial"/>
          <w:b/>
          <w:bCs/>
        </w:rPr>
        <w:t>Expenditures</w:t>
      </w:r>
      <w:r w:rsidR="5D075EEF" w:rsidRPr="009835C6">
        <w:rPr>
          <w:rFonts w:ascii="Arial" w:eastAsia="Calibri" w:hAnsi="Arial" w:cs="Arial"/>
          <w:b/>
          <w:bCs/>
        </w:rPr>
        <w:t xml:space="preserve"> </w:t>
      </w:r>
    </w:p>
    <w:tbl>
      <w:tblPr>
        <w:tblStyle w:val="TableGrid"/>
        <w:tblW w:w="9165" w:type="dxa"/>
        <w:jc w:val="center"/>
        <w:tblLayout w:type="fixed"/>
        <w:tblLook w:val="06A0" w:firstRow="1" w:lastRow="0" w:firstColumn="1" w:lastColumn="0" w:noHBand="1" w:noVBand="1"/>
      </w:tblPr>
      <w:tblGrid>
        <w:gridCol w:w="1965"/>
        <w:gridCol w:w="1170"/>
        <w:gridCol w:w="1170"/>
        <w:gridCol w:w="1170"/>
        <w:gridCol w:w="1170"/>
        <w:gridCol w:w="1170"/>
        <w:gridCol w:w="1350"/>
      </w:tblGrid>
      <w:tr w:rsidR="006F646E" w:rsidRPr="009835C6" w14:paraId="3CE62207" w14:textId="77777777" w:rsidTr="00324BDD">
        <w:trPr>
          <w:trHeight w:val="398"/>
          <w:jc w:val="center"/>
        </w:trPr>
        <w:tc>
          <w:tcPr>
            <w:tcW w:w="19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4A436958" w14:textId="4AD4C26A" w:rsidR="006F646E" w:rsidRPr="009835C6" w:rsidRDefault="006F646E" w:rsidP="006F64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0D115340" w14:textId="2614E0BF" w:rsidR="006F646E" w:rsidRPr="009835C6" w:rsidRDefault="006F646E" w:rsidP="006F646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3405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26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3A5AC71F" w14:textId="0F1A2C2E" w:rsidR="006F646E" w:rsidRPr="009835C6" w:rsidRDefault="006F646E" w:rsidP="006F646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3405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FY202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5F683FED" w14:textId="5B9149B2" w:rsidR="006F646E" w:rsidRPr="009835C6" w:rsidRDefault="006F646E" w:rsidP="006F646E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CA3405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FY202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396A949A" w14:textId="76261C38" w:rsidR="006F646E" w:rsidRPr="009835C6" w:rsidRDefault="006F646E" w:rsidP="006F646E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CA3405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FY202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2748F978" w14:textId="6AD28B88" w:rsidR="006F646E" w:rsidRPr="009835C6" w:rsidRDefault="006F646E" w:rsidP="006F646E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FY2030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2D24283C" w14:textId="0F9A234D" w:rsidR="006F646E" w:rsidRPr="009835C6" w:rsidRDefault="006F646E" w:rsidP="006F646E">
            <w:pPr>
              <w:jc w:val="center"/>
              <w:rPr>
                <w:rFonts w:ascii="Arial" w:hAnsi="Arial" w:cs="Arial"/>
                <w:b/>
                <w:bCs/>
              </w:rPr>
            </w:pPr>
            <w:r w:rsidRPr="009835C6"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</w:p>
        </w:tc>
      </w:tr>
      <w:tr w:rsidR="006F646E" w:rsidRPr="009835C6" w14:paraId="6985E884" w14:textId="77777777" w:rsidTr="00324BDD">
        <w:trPr>
          <w:trHeight w:val="350"/>
          <w:jc w:val="center"/>
        </w:trPr>
        <w:tc>
          <w:tcPr>
            <w:tcW w:w="19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86B8E4B" w14:textId="2477AF8F" w:rsidR="006F646E" w:rsidRPr="009835C6" w:rsidRDefault="006F646E" w:rsidP="006F646E">
            <w:pPr>
              <w:spacing w:line="257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Annual Asphalt Program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623EB55" w14:textId="455B88AB" w:rsidR="006F646E" w:rsidRPr="008F5647" w:rsidRDefault="006F646E" w:rsidP="006F646E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F5647">
              <w:rPr>
                <w:rFonts w:ascii="Arial" w:eastAsia="Calibri" w:hAnsi="Arial" w:cs="Arial"/>
                <w:b/>
                <w:bCs/>
              </w:rPr>
              <w:t>$</w:t>
            </w:r>
            <w:r w:rsidR="007228D2">
              <w:rPr>
                <w:rFonts w:ascii="Arial" w:eastAsia="Calibri" w:hAnsi="Arial" w:cs="Arial"/>
                <w:b/>
                <w:bCs/>
              </w:rPr>
              <w:t>8</w:t>
            </w:r>
            <w:r w:rsidRPr="008F5647">
              <w:rPr>
                <w:rFonts w:ascii="Arial" w:eastAsia="Calibri" w:hAnsi="Arial" w:cs="Arial"/>
                <w:b/>
                <w:bCs/>
              </w:rPr>
              <w:t>00,000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8CF0D8F" w14:textId="291B9767" w:rsidR="006F646E" w:rsidRPr="008F5647" w:rsidRDefault="006F646E" w:rsidP="006F646E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F5647">
              <w:rPr>
                <w:rFonts w:ascii="Arial" w:eastAsia="Calibri" w:hAnsi="Arial" w:cs="Arial"/>
                <w:b/>
                <w:bCs/>
              </w:rPr>
              <w:t>$350,000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F68F776" w14:textId="703624BF" w:rsidR="006F646E" w:rsidRPr="008F5647" w:rsidRDefault="006F646E" w:rsidP="006F646E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F5647">
              <w:rPr>
                <w:rFonts w:ascii="Arial" w:eastAsia="Calibri" w:hAnsi="Arial" w:cs="Arial"/>
                <w:b/>
                <w:bCs/>
              </w:rPr>
              <w:t>$350,000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4878C04" w14:textId="1668543A" w:rsidR="006F646E" w:rsidRPr="008F5647" w:rsidRDefault="006F646E" w:rsidP="006F646E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F5647">
              <w:rPr>
                <w:rFonts w:ascii="Arial" w:eastAsia="Calibri" w:hAnsi="Arial" w:cs="Arial"/>
                <w:b/>
                <w:bCs/>
              </w:rPr>
              <w:t>$400,000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7D018D8" w14:textId="22A3D2F7" w:rsidR="006F646E" w:rsidRPr="008F5647" w:rsidRDefault="006F646E" w:rsidP="006F646E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F5647">
              <w:rPr>
                <w:rFonts w:ascii="Arial" w:eastAsia="Calibri" w:hAnsi="Arial" w:cs="Arial"/>
                <w:b/>
                <w:bCs/>
              </w:rPr>
              <w:t>$450,000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0A497E5E" w14:textId="56D16633" w:rsidR="006F646E" w:rsidRPr="009A6688" w:rsidRDefault="006F646E" w:rsidP="006F646E">
            <w:pPr>
              <w:jc w:val="center"/>
              <w:rPr>
                <w:rFonts w:ascii="Arial" w:hAnsi="Arial" w:cs="Arial"/>
                <w:b/>
                <w:bCs/>
              </w:rPr>
            </w:pPr>
            <w:r w:rsidRPr="009835C6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2,</w:t>
            </w:r>
            <w:r w:rsidR="00155FBB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>50,000</w:t>
            </w:r>
          </w:p>
        </w:tc>
      </w:tr>
      <w:tr w:rsidR="00324BDD" w:rsidRPr="009835C6" w14:paraId="0B5E6ABB" w14:textId="77777777" w:rsidTr="00324BDD">
        <w:trPr>
          <w:trHeight w:val="350"/>
          <w:jc w:val="center"/>
        </w:trPr>
        <w:tc>
          <w:tcPr>
            <w:tcW w:w="19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714DCF2A" w14:textId="171CFE65" w:rsidR="00324BDD" w:rsidRDefault="00324BDD" w:rsidP="00324BDD">
            <w:pPr>
              <w:spacing w:line="257" w:lineRule="auto"/>
              <w:jc w:val="right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11171DF" w14:textId="29B7B960" w:rsidR="00324BDD" w:rsidRPr="008F5647" w:rsidRDefault="00324BDD" w:rsidP="00324BD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F5647">
              <w:rPr>
                <w:rFonts w:ascii="Arial" w:eastAsia="Calibri" w:hAnsi="Arial" w:cs="Arial"/>
                <w:b/>
                <w:bCs/>
              </w:rPr>
              <w:t>$</w:t>
            </w:r>
            <w:r w:rsidR="00155FBB">
              <w:rPr>
                <w:rFonts w:ascii="Arial" w:eastAsia="Calibri" w:hAnsi="Arial" w:cs="Arial"/>
                <w:b/>
                <w:bCs/>
              </w:rPr>
              <w:t>8</w:t>
            </w:r>
            <w:r w:rsidRPr="008F5647">
              <w:rPr>
                <w:rFonts w:ascii="Arial" w:eastAsia="Calibri" w:hAnsi="Arial" w:cs="Arial"/>
                <w:b/>
                <w:bCs/>
              </w:rPr>
              <w:t>00,000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54A5C58" w14:textId="460BE226" w:rsidR="00324BDD" w:rsidRPr="008F5647" w:rsidRDefault="00324BDD" w:rsidP="00324BD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F5647">
              <w:rPr>
                <w:rFonts w:ascii="Arial" w:eastAsia="Calibri" w:hAnsi="Arial" w:cs="Arial"/>
                <w:b/>
                <w:bCs/>
              </w:rPr>
              <w:t>$350,000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0C557C3" w14:textId="50EF97DB" w:rsidR="00324BDD" w:rsidRPr="008F5647" w:rsidRDefault="00324BDD" w:rsidP="00324BD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F5647">
              <w:rPr>
                <w:rFonts w:ascii="Arial" w:eastAsia="Calibri" w:hAnsi="Arial" w:cs="Arial"/>
                <w:b/>
                <w:bCs/>
              </w:rPr>
              <w:t>$350,000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DC4ABBC" w14:textId="12A1946A" w:rsidR="00324BDD" w:rsidRPr="008F5647" w:rsidRDefault="00324BDD" w:rsidP="00324BD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F5647">
              <w:rPr>
                <w:rFonts w:ascii="Arial" w:eastAsia="Calibri" w:hAnsi="Arial" w:cs="Arial"/>
                <w:b/>
                <w:bCs/>
              </w:rPr>
              <w:t>$400,000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FD013F" w14:textId="5BC7508B" w:rsidR="00324BDD" w:rsidRPr="008F5647" w:rsidRDefault="00324BDD" w:rsidP="00324BD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F5647">
              <w:rPr>
                <w:rFonts w:ascii="Arial" w:eastAsia="Calibri" w:hAnsi="Arial" w:cs="Arial"/>
                <w:b/>
                <w:bCs/>
              </w:rPr>
              <w:t>$450,000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31259F56" w14:textId="7CBAB339" w:rsidR="00324BDD" w:rsidRPr="009835C6" w:rsidRDefault="00324BDD" w:rsidP="00324BD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9835C6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2,</w:t>
            </w:r>
            <w:r w:rsidR="00155FBB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>50,000</w:t>
            </w:r>
          </w:p>
        </w:tc>
      </w:tr>
    </w:tbl>
    <w:p w14:paraId="143E58D8" w14:textId="77777777" w:rsidR="009764F1" w:rsidRDefault="3ECBD887" w:rsidP="53D73EE2">
      <w:pPr>
        <w:spacing w:line="257" w:lineRule="auto"/>
        <w:rPr>
          <w:rFonts w:ascii="Calibri" w:eastAsia="Calibri" w:hAnsi="Calibri" w:cs="Calibri"/>
        </w:rPr>
      </w:pPr>
      <w:r w:rsidRPr="53D73EE2">
        <w:rPr>
          <w:rFonts w:ascii="Calibri" w:eastAsia="Calibri" w:hAnsi="Calibri" w:cs="Calibri"/>
        </w:rPr>
        <w:t xml:space="preserve"> </w:t>
      </w:r>
    </w:p>
    <w:p w14:paraId="6F66168A" w14:textId="068BFF65" w:rsidR="005D0119" w:rsidRPr="009835C6" w:rsidRDefault="3ECBD887" w:rsidP="53D73EE2">
      <w:pPr>
        <w:spacing w:line="257" w:lineRule="auto"/>
        <w:rPr>
          <w:rFonts w:ascii="Arial" w:hAnsi="Arial" w:cs="Arial"/>
        </w:rPr>
      </w:pPr>
      <w:r w:rsidRPr="009835C6">
        <w:rPr>
          <w:rFonts w:ascii="Arial" w:eastAsia="Calibri" w:hAnsi="Arial" w:cs="Arial"/>
          <w:b/>
          <w:bCs/>
        </w:rPr>
        <w:t>Funding Sources</w:t>
      </w:r>
    </w:p>
    <w:tbl>
      <w:tblPr>
        <w:tblStyle w:val="TableGrid"/>
        <w:tblW w:w="9304" w:type="dxa"/>
        <w:jc w:val="center"/>
        <w:tblLayout w:type="fixed"/>
        <w:tblLook w:val="06A0" w:firstRow="1" w:lastRow="0" w:firstColumn="1" w:lastColumn="0" w:noHBand="1" w:noVBand="1"/>
      </w:tblPr>
      <w:tblGrid>
        <w:gridCol w:w="2055"/>
        <w:gridCol w:w="1170"/>
        <w:gridCol w:w="1170"/>
        <w:gridCol w:w="1170"/>
        <w:gridCol w:w="1170"/>
        <w:gridCol w:w="1170"/>
        <w:gridCol w:w="1399"/>
      </w:tblGrid>
      <w:tr w:rsidR="006F646E" w:rsidRPr="009835C6" w14:paraId="69FCB878" w14:textId="77777777" w:rsidTr="009E4428">
        <w:trPr>
          <w:trHeight w:val="398"/>
          <w:jc w:val="center"/>
        </w:trPr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5C958BAF" w14:textId="04D06C3B" w:rsidR="006F646E" w:rsidRPr="009835C6" w:rsidRDefault="006F646E" w:rsidP="006F646E">
            <w:pPr>
              <w:jc w:val="right"/>
              <w:rPr>
                <w:rFonts w:ascii="Arial" w:hAnsi="Arial" w:cs="Arial"/>
                <w:b/>
                <w:bCs/>
              </w:rPr>
            </w:pPr>
            <w:r w:rsidRPr="009835C6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701C8E5D" w14:textId="63981CED" w:rsidR="006F646E" w:rsidRPr="009835C6" w:rsidRDefault="006F646E" w:rsidP="006F646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3405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26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28E852B" w14:textId="0D120935" w:rsidR="006F646E" w:rsidRPr="009835C6" w:rsidRDefault="006F646E" w:rsidP="006F646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3405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FY202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00976E02" w14:textId="4D80B496" w:rsidR="006F646E" w:rsidRPr="009835C6" w:rsidRDefault="006F646E" w:rsidP="006F646E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CA3405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FY202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4C63FCB8" w14:textId="623B50D2" w:rsidR="006F646E" w:rsidRPr="009835C6" w:rsidRDefault="006F646E" w:rsidP="006F646E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CA3405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FY202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32E30F50" w14:textId="2E62DF54" w:rsidR="006F646E" w:rsidRPr="009835C6" w:rsidRDefault="006F646E" w:rsidP="006F646E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FY2030</w:t>
            </w:r>
          </w:p>
        </w:tc>
        <w:tc>
          <w:tcPr>
            <w:tcW w:w="13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4BCF47A7" w14:textId="77777777" w:rsidR="006F646E" w:rsidRPr="009835C6" w:rsidRDefault="006F646E" w:rsidP="006F646E">
            <w:pPr>
              <w:jc w:val="center"/>
              <w:rPr>
                <w:rFonts w:ascii="Arial" w:hAnsi="Arial" w:cs="Arial"/>
                <w:b/>
                <w:bCs/>
              </w:rPr>
            </w:pPr>
            <w:r w:rsidRPr="009835C6"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</w:p>
        </w:tc>
      </w:tr>
      <w:tr w:rsidR="006F646E" w:rsidRPr="009835C6" w14:paraId="1BA19C36" w14:textId="77777777" w:rsidTr="009E4428">
        <w:trPr>
          <w:trHeight w:val="708"/>
          <w:jc w:val="center"/>
        </w:trPr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F3DB587" w14:textId="04D7F55E" w:rsidR="006F646E" w:rsidRPr="009835C6" w:rsidRDefault="006F646E" w:rsidP="006F646E">
            <w:pPr>
              <w:spacing w:line="257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Transportation Sales Tax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D69BF08" w14:textId="667D5CAF" w:rsidR="006F646E" w:rsidRPr="008F5647" w:rsidRDefault="006F646E" w:rsidP="006F646E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F5647">
              <w:rPr>
                <w:rFonts w:ascii="Arial" w:eastAsia="Calibri" w:hAnsi="Arial" w:cs="Arial"/>
                <w:b/>
                <w:bCs/>
              </w:rPr>
              <w:t>$</w:t>
            </w:r>
            <w:r w:rsidR="00155FBB">
              <w:rPr>
                <w:rFonts w:ascii="Arial" w:eastAsia="Calibri" w:hAnsi="Arial" w:cs="Arial"/>
                <w:b/>
                <w:bCs/>
              </w:rPr>
              <w:t>8</w:t>
            </w:r>
            <w:r w:rsidRPr="008F5647">
              <w:rPr>
                <w:rFonts w:ascii="Arial" w:eastAsia="Calibri" w:hAnsi="Arial" w:cs="Arial"/>
                <w:b/>
                <w:bCs/>
              </w:rPr>
              <w:t>00,000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CD25837" w14:textId="53DA9871" w:rsidR="006F646E" w:rsidRPr="008F5647" w:rsidRDefault="006F646E" w:rsidP="006F646E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F5647">
              <w:rPr>
                <w:rFonts w:ascii="Arial" w:eastAsia="Calibri" w:hAnsi="Arial" w:cs="Arial"/>
                <w:b/>
                <w:bCs/>
              </w:rPr>
              <w:t>$350,000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C8F2CAB" w14:textId="00C6854C" w:rsidR="006F646E" w:rsidRPr="008F5647" w:rsidRDefault="006F646E" w:rsidP="006F646E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F5647">
              <w:rPr>
                <w:rFonts w:ascii="Arial" w:eastAsia="Calibri" w:hAnsi="Arial" w:cs="Arial"/>
                <w:b/>
                <w:bCs/>
              </w:rPr>
              <w:t>$350,000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BB16B2D" w14:textId="6EF91244" w:rsidR="006F646E" w:rsidRPr="008F5647" w:rsidRDefault="006F646E" w:rsidP="006F646E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F5647">
              <w:rPr>
                <w:rFonts w:ascii="Arial" w:eastAsia="Calibri" w:hAnsi="Arial" w:cs="Arial"/>
                <w:b/>
                <w:bCs/>
              </w:rPr>
              <w:t>$400,000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06942AA" w14:textId="50D53EA8" w:rsidR="006F646E" w:rsidRPr="008F5647" w:rsidRDefault="006F646E" w:rsidP="006F646E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F5647">
              <w:rPr>
                <w:rFonts w:ascii="Arial" w:eastAsia="Calibri" w:hAnsi="Arial" w:cs="Arial"/>
                <w:b/>
                <w:bCs/>
              </w:rPr>
              <w:t>$450,000</w:t>
            </w:r>
          </w:p>
        </w:tc>
        <w:tc>
          <w:tcPr>
            <w:tcW w:w="13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/>
            <w:vAlign w:val="center"/>
          </w:tcPr>
          <w:p w14:paraId="512F38C4" w14:textId="5F206C57" w:rsidR="006F646E" w:rsidRPr="009A6688" w:rsidRDefault="006F646E" w:rsidP="006F646E">
            <w:pPr>
              <w:jc w:val="center"/>
              <w:rPr>
                <w:rFonts w:ascii="Arial" w:hAnsi="Arial" w:cs="Arial"/>
                <w:b/>
                <w:bCs/>
              </w:rPr>
            </w:pPr>
            <w:r w:rsidRPr="009835C6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2,</w:t>
            </w:r>
            <w:r w:rsidR="00155FBB">
              <w:rPr>
                <w:rFonts w:ascii="Arial" w:eastAsia="Calibri" w:hAnsi="Arial" w:cs="Arial"/>
                <w:b/>
                <w:bCs/>
              </w:rPr>
              <w:t>35</w:t>
            </w:r>
            <w:r>
              <w:rPr>
                <w:rFonts w:ascii="Arial" w:eastAsia="Calibri" w:hAnsi="Arial" w:cs="Arial"/>
                <w:b/>
                <w:bCs/>
              </w:rPr>
              <w:t>0,000</w:t>
            </w:r>
          </w:p>
        </w:tc>
      </w:tr>
      <w:tr w:rsidR="006F646E" w:rsidRPr="009835C6" w14:paraId="73A85EFF" w14:textId="77777777" w:rsidTr="009E4428">
        <w:trPr>
          <w:trHeight w:val="447"/>
          <w:jc w:val="center"/>
        </w:trPr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302B2F82" w14:textId="60B7B28E" w:rsidR="006F646E" w:rsidRDefault="006F646E" w:rsidP="006F646E">
            <w:pPr>
              <w:spacing w:line="257" w:lineRule="auto"/>
              <w:jc w:val="right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 Net Cost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/>
            <w:vAlign w:val="center"/>
          </w:tcPr>
          <w:p w14:paraId="03CA5723" w14:textId="6F3A6E83" w:rsidR="006F646E" w:rsidRPr="008F5647" w:rsidRDefault="006F646E" w:rsidP="006F646E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F5647">
              <w:rPr>
                <w:rFonts w:ascii="Arial" w:eastAsia="Calibri" w:hAnsi="Arial" w:cs="Arial"/>
                <w:b/>
                <w:bCs/>
              </w:rPr>
              <w:t>$</w:t>
            </w:r>
            <w:r w:rsidR="00155FBB">
              <w:rPr>
                <w:rFonts w:ascii="Arial" w:eastAsia="Calibri" w:hAnsi="Arial" w:cs="Arial"/>
                <w:b/>
                <w:bCs/>
              </w:rPr>
              <w:t>8</w:t>
            </w:r>
            <w:r w:rsidRPr="008F5647">
              <w:rPr>
                <w:rFonts w:ascii="Arial" w:eastAsia="Calibri" w:hAnsi="Arial" w:cs="Arial"/>
                <w:b/>
                <w:bCs/>
              </w:rPr>
              <w:t>00,000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/>
            <w:vAlign w:val="center"/>
          </w:tcPr>
          <w:p w14:paraId="047D8314" w14:textId="11B01A66" w:rsidR="006F646E" w:rsidRPr="008F5647" w:rsidRDefault="006F646E" w:rsidP="006F646E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F5647">
              <w:rPr>
                <w:rFonts w:ascii="Arial" w:eastAsia="Calibri" w:hAnsi="Arial" w:cs="Arial"/>
                <w:b/>
                <w:bCs/>
              </w:rPr>
              <w:t>$350,000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/>
            <w:vAlign w:val="center"/>
          </w:tcPr>
          <w:p w14:paraId="5E1A53EE" w14:textId="68A8A363" w:rsidR="006F646E" w:rsidRPr="008F5647" w:rsidRDefault="006F646E" w:rsidP="006F646E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F5647">
              <w:rPr>
                <w:rFonts w:ascii="Arial" w:eastAsia="Calibri" w:hAnsi="Arial" w:cs="Arial"/>
                <w:b/>
                <w:bCs/>
              </w:rPr>
              <w:t>$350,000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/>
            <w:vAlign w:val="center"/>
          </w:tcPr>
          <w:p w14:paraId="3312BE1C" w14:textId="5B746D2D" w:rsidR="006F646E" w:rsidRPr="008F5647" w:rsidRDefault="006F646E" w:rsidP="006F646E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F5647">
              <w:rPr>
                <w:rFonts w:ascii="Arial" w:eastAsia="Calibri" w:hAnsi="Arial" w:cs="Arial"/>
                <w:b/>
                <w:bCs/>
              </w:rPr>
              <w:t>$400,000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/>
            <w:vAlign w:val="center"/>
          </w:tcPr>
          <w:p w14:paraId="7113FA2E" w14:textId="730EA8CB" w:rsidR="006F646E" w:rsidRPr="008F5647" w:rsidRDefault="006F646E" w:rsidP="006F646E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F5647">
              <w:rPr>
                <w:rFonts w:ascii="Arial" w:eastAsia="Calibri" w:hAnsi="Arial" w:cs="Arial"/>
                <w:b/>
                <w:bCs/>
              </w:rPr>
              <w:t>$450,000</w:t>
            </w:r>
          </w:p>
        </w:tc>
        <w:tc>
          <w:tcPr>
            <w:tcW w:w="13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2671B7E4" w14:textId="02116B71" w:rsidR="006F646E" w:rsidRDefault="006F646E" w:rsidP="006F646E">
            <w:pPr>
              <w:jc w:val="center"/>
              <w:rPr>
                <w:rFonts w:ascii="Arial" w:hAnsi="Arial" w:cs="Arial"/>
                <w:b/>
                <w:bCs/>
              </w:rPr>
            </w:pPr>
            <w:r w:rsidRPr="009835C6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2,</w:t>
            </w:r>
            <w:r w:rsidR="00155FBB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>50,000</w:t>
            </w:r>
          </w:p>
        </w:tc>
      </w:tr>
    </w:tbl>
    <w:p w14:paraId="3EEC435C" w14:textId="62CC7125" w:rsidR="005D0119" w:rsidRDefault="005D0119" w:rsidP="00F04845">
      <w:pPr>
        <w:spacing w:line="257" w:lineRule="auto"/>
        <w:jc w:val="center"/>
      </w:pPr>
    </w:p>
    <w:sectPr w:rsidR="005D0119" w:rsidSect="00324BD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EF728" w14:textId="77777777" w:rsidR="005C661A" w:rsidRDefault="005C661A" w:rsidP="005E2127">
      <w:pPr>
        <w:spacing w:after="0" w:line="240" w:lineRule="auto"/>
      </w:pPr>
      <w:r>
        <w:separator/>
      </w:r>
    </w:p>
  </w:endnote>
  <w:endnote w:type="continuationSeparator" w:id="0">
    <w:p w14:paraId="01F18CDF" w14:textId="77777777" w:rsidR="005C661A" w:rsidRDefault="005C661A" w:rsidP="005E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C91B7" w14:textId="77777777" w:rsidR="005C661A" w:rsidRDefault="005C661A" w:rsidP="005E2127">
      <w:pPr>
        <w:spacing w:after="0" w:line="240" w:lineRule="auto"/>
      </w:pPr>
      <w:r>
        <w:separator/>
      </w:r>
    </w:p>
  </w:footnote>
  <w:footnote w:type="continuationSeparator" w:id="0">
    <w:p w14:paraId="3FF49B7A" w14:textId="77777777" w:rsidR="005C661A" w:rsidRDefault="005C661A" w:rsidP="005E2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6BA7C" w14:textId="788736D8" w:rsidR="005E2127" w:rsidRDefault="005E2127" w:rsidP="005E2127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4FFE9E" wp14:editId="3094FF98">
          <wp:simplePos x="0" y="0"/>
          <wp:positionH relativeFrom="margin">
            <wp:posOffset>3467816</wp:posOffset>
          </wp:positionH>
          <wp:positionV relativeFrom="paragraph">
            <wp:posOffset>-161925</wp:posOffset>
          </wp:positionV>
          <wp:extent cx="2447925" cy="44717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41"/>
                  <a:stretch/>
                </pic:blipFill>
                <pic:spPr bwMode="auto">
                  <a:xfrm>
                    <a:off x="0" y="0"/>
                    <a:ext cx="2447925" cy="4471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96EF1E"/>
    <w:rsid w:val="00006934"/>
    <w:rsid w:val="00054856"/>
    <w:rsid w:val="000C2264"/>
    <w:rsid w:val="000D1DBC"/>
    <w:rsid w:val="000F4E78"/>
    <w:rsid w:val="001368F9"/>
    <w:rsid w:val="00136EA5"/>
    <w:rsid w:val="00155FBB"/>
    <w:rsid w:val="00186A45"/>
    <w:rsid w:val="00196222"/>
    <w:rsid w:val="001C0710"/>
    <w:rsid w:val="001F2506"/>
    <w:rsid w:val="002574F3"/>
    <w:rsid w:val="0026460E"/>
    <w:rsid w:val="002944F0"/>
    <w:rsid w:val="002968ED"/>
    <w:rsid w:val="002B6DCD"/>
    <w:rsid w:val="002E1D1D"/>
    <w:rsid w:val="00324BDD"/>
    <w:rsid w:val="00353D19"/>
    <w:rsid w:val="00363DBA"/>
    <w:rsid w:val="00394229"/>
    <w:rsid w:val="003A52C2"/>
    <w:rsid w:val="003E6E83"/>
    <w:rsid w:val="0042168C"/>
    <w:rsid w:val="0046436E"/>
    <w:rsid w:val="004B69A5"/>
    <w:rsid w:val="004D2127"/>
    <w:rsid w:val="004E0D94"/>
    <w:rsid w:val="00503EDB"/>
    <w:rsid w:val="005B20ED"/>
    <w:rsid w:val="005C661A"/>
    <w:rsid w:val="005D0119"/>
    <w:rsid w:val="005E19B0"/>
    <w:rsid w:val="005E2127"/>
    <w:rsid w:val="005F4D43"/>
    <w:rsid w:val="00604F6F"/>
    <w:rsid w:val="00644EF3"/>
    <w:rsid w:val="00664F82"/>
    <w:rsid w:val="0069557C"/>
    <w:rsid w:val="006E1FE9"/>
    <w:rsid w:val="006E5DE5"/>
    <w:rsid w:val="006F646E"/>
    <w:rsid w:val="007228D2"/>
    <w:rsid w:val="00727984"/>
    <w:rsid w:val="0075078C"/>
    <w:rsid w:val="00774952"/>
    <w:rsid w:val="007C5895"/>
    <w:rsid w:val="007D2B62"/>
    <w:rsid w:val="00835067"/>
    <w:rsid w:val="008F5647"/>
    <w:rsid w:val="009076A2"/>
    <w:rsid w:val="0093787B"/>
    <w:rsid w:val="009764F1"/>
    <w:rsid w:val="009835C6"/>
    <w:rsid w:val="009859B4"/>
    <w:rsid w:val="009A6688"/>
    <w:rsid w:val="009E4428"/>
    <w:rsid w:val="00A74926"/>
    <w:rsid w:val="00A757D2"/>
    <w:rsid w:val="00AA7949"/>
    <w:rsid w:val="00AE6431"/>
    <w:rsid w:val="00B5674A"/>
    <w:rsid w:val="00B90D1D"/>
    <w:rsid w:val="00C379EF"/>
    <w:rsid w:val="00D51098"/>
    <w:rsid w:val="00D548AD"/>
    <w:rsid w:val="00D67ADC"/>
    <w:rsid w:val="00E016C7"/>
    <w:rsid w:val="00E17891"/>
    <w:rsid w:val="00E23C7E"/>
    <w:rsid w:val="00E80C2E"/>
    <w:rsid w:val="00E82B11"/>
    <w:rsid w:val="00EF4EE5"/>
    <w:rsid w:val="00F04845"/>
    <w:rsid w:val="00FA6547"/>
    <w:rsid w:val="0852DED3"/>
    <w:rsid w:val="1366FCEB"/>
    <w:rsid w:val="188ECF08"/>
    <w:rsid w:val="1C83270A"/>
    <w:rsid w:val="2174AFDF"/>
    <w:rsid w:val="254D4244"/>
    <w:rsid w:val="2B4C265A"/>
    <w:rsid w:val="3DAB1F17"/>
    <w:rsid w:val="3ECBD887"/>
    <w:rsid w:val="4EE7B738"/>
    <w:rsid w:val="53D73EE2"/>
    <w:rsid w:val="59E2ACAD"/>
    <w:rsid w:val="5B78CFD5"/>
    <w:rsid w:val="5D075EEF"/>
    <w:rsid w:val="6596EF1E"/>
    <w:rsid w:val="6E5565E5"/>
    <w:rsid w:val="711E8BA5"/>
    <w:rsid w:val="74BFE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EF1E"/>
  <w15:chartTrackingRefBased/>
  <w15:docId w15:val="{F66C4A3B-5468-461F-A735-CE222EBC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127"/>
  </w:style>
  <w:style w:type="paragraph" w:styleId="Footer">
    <w:name w:val="footer"/>
    <w:basedOn w:val="Normal"/>
    <w:link w:val="Foot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B4B1C7FA43243AA9A32EF043F35C4" ma:contentTypeVersion="4" ma:contentTypeDescription="Create a new document." ma:contentTypeScope="" ma:versionID="4a21b7ea083673e73a3020b58e2cfb3d">
  <xsd:schema xmlns:xsd="http://www.w3.org/2001/XMLSchema" xmlns:xs="http://www.w3.org/2001/XMLSchema" xmlns:p="http://schemas.microsoft.com/office/2006/metadata/properties" xmlns:ns2="771359cf-c993-42c2-94bb-1252d93f5afd" targetNamespace="http://schemas.microsoft.com/office/2006/metadata/properties" ma:root="true" ma:fieldsID="9e5cbe83acfc7af7e551414c5794ca93" ns2:_="">
    <xsd:import namespace="771359cf-c993-42c2-94bb-1252d93f5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359cf-c993-42c2-94bb-1252d93f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72A749-C5AD-4B0B-90E9-06900015C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359cf-c993-42c2-94bb-1252d93f5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A99F9-BBA9-4079-A2D4-DCF31F64E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B58CC-26AA-42FB-96CD-24FFC4C6F9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Ore</dc:creator>
  <cp:keywords/>
  <dc:description/>
  <cp:lastModifiedBy>Madelynne Call</cp:lastModifiedBy>
  <cp:revision>6</cp:revision>
  <dcterms:created xsi:type="dcterms:W3CDTF">2025-08-08T16:26:00Z</dcterms:created>
  <dcterms:modified xsi:type="dcterms:W3CDTF">2025-09-19T14:05:00Z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0x010100086B4B1C7FA43243AA9A32EF043F35C4</vt:lpwstr>
  </property>
</Properties>
</file>